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lang w:val="zh-TW" w:eastAsia="zh-TW"/>
        </w:rPr>
      </w:pPr>
      <w:r>
        <w:rPr>
          <w:rFonts w:ascii="华文中宋" w:hAnsi="华文中宋" w:eastAsia="华文中宋" w:cs="华文中宋"/>
          <w:b/>
          <w:bCs/>
          <w:kern w:val="0"/>
          <w:sz w:val="52"/>
          <w:szCs w:val="52"/>
          <w:lang w:val="zh-TW" w:eastAsia="zh-TW"/>
        </w:rPr>
        <w:t>新疆财政支出绩效自评报告</w:t>
      </w: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kern w:val="0"/>
          <w:sz w:val="36"/>
          <w:szCs w:val="36"/>
          <w:lang w:val="zh-TW" w:eastAsia="zh-TW"/>
        </w:rPr>
      </w:pPr>
      <w:r>
        <w:rPr>
          <w:rFonts w:ascii="仿宋_GB2312" w:hAnsi="仿宋_GB2312" w:eastAsia="仿宋_GB2312" w:cs="仿宋_GB2312"/>
          <w:kern w:val="0"/>
          <w:sz w:val="36"/>
          <w:szCs w:val="36"/>
          <w:lang w:val="zh-TW" w:eastAsia="zh-TW"/>
        </w:rPr>
        <w:t>（201</w:t>
      </w:r>
      <w:r>
        <w:rPr>
          <w:rFonts w:hint="eastAsia" w:ascii="仿宋_GB2312" w:hAnsi="仿宋_GB2312" w:eastAsia="仿宋_GB2312" w:cs="仿宋_GB2312"/>
          <w:kern w:val="0"/>
          <w:sz w:val="36"/>
          <w:szCs w:val="36"/>
          <w:lang w:val="en-US" w:eastAsia="zh-CN"/>
        </w:rPr>
        <w:t>8</w:t>
      </w:r>
      <w:r>
        <w:rPr>
          <w:rFonts w:ascii="仿宋_GB2312" w:hAnsi="仿宋_GB2312" w:eastAsia="仿宋_GB2312" w:cs="仿宋_GB2312"/>
          <w:kern w:val="0"/>
          <w:sz w:val="36"/>
          <w:szCs w:val="36"/>
          <w:lang w:val="zh-TW" w:eastAsia="zh-TW"/>
        </w:rPr>
        <w:t>年度）</w:t>
      </w: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rPr>
          <w:kern w:val="0"/>
          <w:sz w:val="30"/>
          <w:szCs w:val="30"/>
        </w:rPr>
      </w:pPr>
    </w:p>
    <w:p>
      <w:pPr>
        <w:pStyle w:val="48"/>
        <w:spacing w:line="700" w:lineRule="exact"/>
        <w:ind w:firstLine="720" w:firstLineChars="200"/>
        <w:jc w:val="left"/>
        <w:rPr>
          <w:rFonts w:hint="eastAsia" w:ascii="仿宋_GB2312" w:hAnsi="仿宋_GB2312" w:eastAsia="仿宋_GB2312" w:cs="仿宋_GB2312"/>
          <w:kern w:val="0"/>
          <w:sz w:val="36"/>
          <w:szCs w:val="36"/>
          <w:lang w:val="zh-TW" w:eastAsia="zh-CN"/>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eastAsia="zh-TW"/>
        </w:rPr>
        <w:t>英吉沙县</w:t>
      </w:r>
      <w:r>
        <w:rPr>
          <w:rFonts w:hint="eastAsia" w:ascii="仿宋_GB2312" w:hAnsi="仿宋_GB2312" w:eastAsia="仿宋_GB2312" w:cs="仿宋_GB2312"/>
          <w:kern w:val="0"/>
          <w:sz w:val="36"/>
          <w:szCs w:val="36"/>
          <w:lang w:val="zh-TW" w:eastAsia="zh-CN"/>
        </w:rPr>
        <w:t>卡回水库工程</w:t>
      </w:r>
    </w:p>
    <w:p>
      <w:pPr>
        <w:pStyle w:val="48"/>
        <w:spacing w:line="700" w:lineRule="exact"/>
        <w:ind w:firstLine="720" w:firstLineChars="200"/>
        <w:jc w:val="left"/>
        <w:rPr>
          <w:rFonts w:hint="eastAsia" w:ascii="仿宋_GB2312" w:hAnsi="仿宋_GB2312" w:eastAsia="仿宋_GB2312" w:cs="仿宋_GB2312"/>
          <w:kern w:val="0"/>
          <w:sz w:val="36"/>
          <w:szCs w:val="36"/>
          <w:lang w:val="zh-TW" w:eastAsia="zh-CN"/>
        </w:rPr>
      </w:pP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lang w:val="zh-TW" w:eastAsia="zh-CN"/>
        </w:rPr>
        <w:t>英吉沙县水管总站</w:t>
      </w:r>
    </w:p>
    <w:p>
      <w:pPr>
        <w:pStyle w:val="48"/>
        <w:spacing w:line="700" w:lineRule="exact"/>
        <w:ind w:firstLine="720" w:firstLineChars="200"/>
        <w:jc w:val="left"/>
        <w:rPr>
          <w:rFonts w:hint="eastAsia" w:eastAsia="仿宋_GB2312"/>
          <w:kern w:val="0"/>
          <w:sz w:val="36"/>
          <w:szCs w:val="36"/>
          <w:lang w:val="zh-TW" w:eastAsia="zh-CN"/>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lang w:val="zh-TW" w:eastAsia="zh-CN"/>
        </w:rPr>
        <w:t>英吉沙县水利局</w:t>
      </w:r>
    </w:p>
    <w:p>
      <w:pPr>
        <w:pStyle w:val="48"/>
        <w:spacing w:line="700" w:lineRule="exact"/>
        <w:ind w:firstLine="720" w:firstLineChars="200"/>
        <w:jc w:val="left"/>
        <w:rPr>
          <w:rFonts w:hint="eastAsia" w:ascii="仿宋_GB2312" w:hAnsi="仿宋_GB2312" w:eastAsia="仿宋_GB2312" w:cs="仿宋_GB2312"/>
          <w:kern w:val="0"/>
          <w:sz w:val="36"/>
          <w:szCs w:val="36"/>
          <w:lang w:val="zh-TW" w:eastAsia="zh-CN"/>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lang w:val="zh-TW" w:eastAsia="zh-CN"/>
        </w:rPr>
        <w:t>喀米力</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lang w:val="en-US" w:eastAsia="zh-CN"/>
        </w:rPr>
        <w:t>9</w:t>
      </w:r>
      <w:r>
        <w:rPr>
          <w:rFonts w:ascii="仿宋_GB2312" w:hAnsi="仿宋_GB2312" w:eastAsia="仿宋_GB2312" w:cs="仿宋_GB2312"/>
          <w:kern w:val="0"/>
          <w:sz w:val="36"/>
          <w:szCs w:val="36"/>
          <w:lang w:val="zh-TW" w:eastAsia="zh-TW"/>
        </w:rPr>
        <w:t>年1月</w:t>
      </w:r>
      <w:r>
        <w:rPr>
          <w:rFonts w:hint="eastAsia" w:ascii="仿宋_GB2312" w:hAnsi="仿宋_GB2312" w:eastAsia="仿宋_GB2312" w:cs="仿宋_GB2312"/>
          <w:kern w:val="0"/>
          <w:sz w:val="36"/>
          <w:szCs w:val="36"/>
          <w:lang w:val="en-US" w:eastAsia="zh-CN"/>
        </w:rPr>
        <w:t>28</w:t>
      </w:r>
      <w:r>
        <w:rPr>
          <w:rFonts w:ascii="仿宋_GB2312" w:hAnsi="仿宋_GB2312" w:eastAsia="仿宋_GB2312" w:cs="仿宋_GB2312"/>
          <w:kern w:val="0"/>
          <w:sz w:val="36"/>
          <w:szCs w:val="36"/>
          <w:lang w:val="zh-TW" w:eastAsia="zh-TW"/>
        </w:rPr>
        <w:t>日</w:t>
      </w:r>
    </w:p>
    <w:p>
      <w:pPr>
        <w:pStyle w:val="48"/>
        <w:spacing w:line="700" w:lineRule="exact"/>
        <w:ind w:firstLine="624" w:firstLineChars="200"/>
        <w:jc w:val="left"/>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设计单位：湖南省水利水电勘测设计研究总院</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监理单位：北京阳光政信投资有限公司</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施工第一标段：山西省水利建筑工程局</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施工第二标段：中铁五局集团有限公司</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施工第三标段：江西赣禹工程建设有限公司</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施工第四标段：江西金峰水利建筑工程有限公司</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施工第五标段：新疆泰治建设工程有限公司</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施工第六标段：江西中捷工程建设有限公司</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施工第七标段：和田开元建筑安装工程有限责任公司</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施工第八标段：新疆开维喜阀门成套有限公司</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施工第九标段：深圳市宏电技术股份有限公司</w:t>
      </w:r>
    </w:p>
    <w:p>
      <w:pPr>
        <w:ind w:firstLine="640" w:firstLineChars="200"/>
        <w:rPr>
          <w:rFonts w:hint="eastAsia" w:ascii="仿宋" w:hAnsi="仿宋" w:eastAsia="仿宋" w:cs="仿宋"/>
          <w:lang w:val="en-US" w:eastAsia="zh-CN"/>
        </w:rPr>
      </w:pPr>
      <w:r>
        <w:rPr>
          <w:rFonts w:hint="eastAsia" w:ascii="仿宋" w:hAnsi="仿宋" w:eastAsia="仿宋" w:cs="仿宋"/>
          <w:sz w:val="32"/>
          <w:szCs w:val="32"/>
          <w:lang w:val="en-US" w:eastAsia="zh-CN"/>
        </w:rPr>
        <w:t>代建单位：黄河勘测规划设计有限公司</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adjustRightInd w:val="0"/>
        <w:snapToGrid w:val="0"/>
        <w:spacing w:line="560" w:lineRule="exact"/>
        <w:ind w:firstLine="624"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560" w:lineRule="exact"/>
        <w:ind w:firstLine="640" w:firstLineChars="200"/>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该工程分为蓄水工程和引水工程，主要由引水渠、拦河坝、灌溉放水兼泄洪涵洞等组成。引水工程采用明渠的方式从新建引水渠、改建卡回渠、卡回渠分水闸、最后进入新建引水支渠向水库引水；大坝坝体均质土坝，坝顶高程1419.2米，最低建基面高程1388米，最大坝高31.2米，坝顶全长3750米，坝顶宽6米；灌溉兼放水涵洞布置于工程区南侧，由闸前引渠段</w:t>
      </w:r>
      <w:bookmarkStart w:id="0" w:name="_GoBack"/>
      <w:bookmarkEnd w:id="0"/>
      <w:r>
        <w:rPr>
          <w:rFonts w:hint="eastAsia" w:ascii="仿宋" w:hAnsi="仿宋" w:eastAsia="仿宋" w:cs="仿宋"/>
          <w:b w:val="0"/>
          <w:bCs w:val="0"/>
          <w:sz w:val="32"/>
          <w:szCs w:val="32"/>
          <w:lang w:val="en-US" w:eastAsia="zh-CN"/>
        </w:rPr>
        <w:t>、进口闸室段、无压洞身段、出口消能段组成。建设内容现已全部建设完成。</w:t>
      </w:r>
    </w:p>
    <w:p>
      <w:pPr>
        <w:adjustRightInd w:val="0"/>
        <w:snapToGrid w:val="0"/>
        <w:spacing w:line="560" w:lineRule="exact"/>
        <w:ind w:firstLine="624"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560" w:lineRule="exact"/>
        <w:ind w:firstLine="624" w:firstLineChars="200"/>
        <w:rPr>
          <w:rFonts w:hint="eastAsia" w:ascii="仿宋" w:hAnsi="仿宋" w:eastAsia="仿宋"/>
          <w:bCs/>
          <w:color w:val="auto"/>
          <w:spacing w:val="-4"/>
          <w:sz w:val="32"/>
          <w:szCs w:val="32"/>
          <w:lang w:eastAsia="zh-CN"/>
        </w:rPr>
      </w:pPr>
      <w:r>
        <w:rPr>
          <w:rFonts w:hint="eastAsia" w:ascii="仿宋" w:hAnsi="仿宋" w:eastAsia="仿宋"/>
          <w:bCs/>
          <w:color w:val="auto"/>
          <w:spacing w:val="-4"/>
          <w:sz w:val="32"/>
          <w:szCs w:val="32"/>
        </w:rPr>
        <w:t>本项目性质为</w:t>
      </w:r>
      <w:r>
        <w:rPr>
          <w:rFonts w:hint="eastAsia" w:ascii="仿宋" w:hAnsi="仿宋" w:eastAsia="仿宋"/>
          <w:bCs/>
          <w:color w:val="auto"/>
          <w:spacing w:val="-4"/>
          <w:sz w:val="32"/>
          <w:szCs w:val="32"/>
          <w:lang w:eastAsia="zh-CN"/>
        </w:rPr>
        <w:t>新增项目。</w:t>
      </w:r>
    </w:p>
    <w:p>
      <w:pPr>
        <w:adjustRightInd w:val="0"/>
        <w:snapToGrid w:val="0"/>
        <w:spacing w:line="560" w:lineRule="exact"/>
        <w:ind w:firstLine="624"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560" w:lineRule="exact"/>
        <w:ind w:firstLine="624" w:firstLineChars="200"/>
        <w:rPr>
          <w:rFonts w:hint="eastAsia" w:ascii="仿宋" w:hAnsi="仿宋" w:eastAsia="仿宋"/>
          <w:bCs/>
          <w:color w:val="auto"/>
          <w:spacing w:val="-4"/>
          <w:sz w:val="32"/>
          <w:szCs w:val="32"/>
        </w:rPr>
      </w:pPr>
      <w:r>
        <w:rPr>
          <w:rFonts w:hint="eastAsia" w:ascii="仿宋" w:hAnsi="仿宋" w:eastAsia="仿宋"/>
          <w:bCs/>
          <w:color w:val="auto"/>
          <w:spacing w:val="-4"/>
          <w:sz w:val="32"/>
          <w:szCs w:val="32"/>
          <w:lang w:val="en-US" w:eastAsia="zh-CN"/>
        </w:rPr>
        <w:t>水库控制灌溉面积30.82万亩，改善灌溉面积14.7万亩。水库正常蓄水位1416.2米，相应库容为2477万立方米，死水位1399.5米，淤沙高程1398.5米，死库容295万立方米，调节库容2182万立方米。通过项目的实施，可以促进当地农民收入水平；水库水温为富有植物生长和发育作用，提供了良好环境：改善水质，改善库区生态用水；</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b/>
          <w:bCs/>
          <w:color w:val="000000" w:themeColor="text1"/>
          <w:sz w:val="32"/>
          <w:szCs w:val="32"/>
          <w:lang w:val="en-US" w:eastAsia="zh-CN"/>
        </w:rPr>
      </w:pPr>
      <w:r>
        <w:rPr>
          <w:rFonts w:hint="eastAsia" w:ascii="仿宋" w:hAnsi="仿宋" w:eastAsia="仿宋" w:cs="仿宋"/>
          <w:b/>
          <w:bCs/>
          <w:color w:val="000000" w:themeColor="text1"/>
          <w:sz w:val="32"/>
          <w:szCs w:val="32"/>
          <w:lang w:val="en-US" w:eastAsia="zh-CN"/>
        </w:rPr>
        <w:t>（一）项目资金情况分析</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color w:val="000000" w:themeColor="text1"/>
          <w:sz w:val="32"/>
          <w:szCs w:val="32"/>
          <w:lang w:val="en-US" w:eastAsia="zh-CN"/>
        </w:rPr>
      </w:pPr>
      <w:r>
        <w:rPr>
          <w:rFonts w:hint="eastAsia" w:ascii="仿宋" w:hAnsi="仿宋" w:eastAsia="仿宋" w:cs="仿宋"/>
          <w:color w:val="000000" w:themeColor="text1"/>
          <w:sz w:val="32"/>
          <w:szCs w:val="32"/>
          <w:lang w:val="en-US" w:eastAsia="zh-CN"/>
        </w:rPr>
        <w:t>1、项目资金到位情况分析</w:t>
      </w:r>
    </w:p>
    <w:p>
      <w:pPr>
        <w:pStyle w:val="48"/>
        <w:spacing w:line="700" w:lineRule="exact"/>
        <w:ind w:firstLine="640" w:firstLineChars="200"/>
        <w:jc w:val="left"/>
        <w:rPr>
          <w:rFonts w:hint="eastAsia" w:ascii="仿宋" w:hAnsi="仿宋" w:eastAsia="仿宋" w:cs="仿宋"/>
          <w:color w:val="000000" w:themeColor="text1"/>
          <w:sz w:val="32"/>
          <w:szCs w:val="32"/>
          <w:lang w:val="en-US" w:eastAsia="zh-CN"/>
        </w:rPr>
      </w:pPr>
      <w:r>
        <w:rPr>
          <w:rFonts w:hint="eastAsia" w:ascii="仿宋" w:hAnsi="仿宋" w:eastAsia="仿宋" w:cs="仿宋"/>
          <w:color w:val="000000" w:themeColor="text1"/>
          <w:sz w:val="32"/>
          <w:szCs w:val="32"/>
          <w:lang w:val="en-US" w:eastAsia="zh-CN"/>
        </w:rPr>
        <w:t>目前已全部到位，到位率达100%。</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color w:val="000000" w:themeColor="text1"/>
          <w:sz w:val="32"/>
          <w:szCs w:val="32"/>
          <w:lang w:val="en-US" w:eastAsia="zh-CN"/>
        </w:rPr>
      </w:pPr>
      <w:r>
        <w:rPr>
          <w:rFonts w:hint="eastAsia" w:ascii="仿宋" w:hAnsi="仿宋" w:eastAsia="仿宋" w:cs="仿宋"/>
          <w:color w:val="000000" w:themeColor="text1"/>
          <w:sz w:val="32"/>
          <w:szCs w:val="32"/>
          <w:lang w:val="en-US" w:eastAsia="zh-CN"/>
        </w:rPr>
        <w:t>2、项目资金执行情况分析</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color w:val="000000" w:themeColor="text1"/>
          <w:sz w:val="32"/>
          <w:szCs w:val="32"/>
          <w:lang w:val="en-US" w:eastAsia="zh-CN"/>
        </w:rPr>
      </w:pPr>
      <w:r>
        <w:rPr>
          <w:rFonts w:hint="eastAsia" w:ascii="仿宋" w:hAnsi="仿宋" w:eastAsia="仿宋" w:cs="仿宋"/>
          <w:color w:val="auto"/>
          <w:sz w:val="32"/>
          <w:szCs w:val="32"/>
          <w:lang w:val="en-US" w:eastAsia="zh-CN"/>
        </w:rPr>
        <w:t>卡回水库建设工程</w:t>
      </w:r>
      <w:r>
        <w:rPr>
          <w:rFonts w:hint="eastAsia" w:ascii="仿宋" w:hAnsi="仿宋" w:eastAsia="仿宋" w:cs="仿宋"/>
          <w:color w:val="000000" w:themeColor="text1"/>
          <w:sz w:val="32"/>
          <w:szCs w:val="32"/>
          <w:lang w:val="en-US" w:eastAsia="zh-CN"/>
        </w:rPr>
        <w:t>，2018年项目执行1626.53万元。</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color w:val="000000" w:themeColor="text1"/>
          <w:sz w:val="32"/>
          <w:szCs w:val="32"/>
          <w:lang w:val="en-US" w:eastAsia="zh-CN"/>
        </w:rPr>
      </w:pPr>
      <w:r>
        <w:rPr>
          <w:rFonts w:hint="eastAsia" w:ascii="仿宋" w:hAnsi="仿宋" w:eastAsia="仿宋" w:cs="仿宋"/>
          <w:color w:val="000000" w:themeColor="text1"/>
          <w:sz w:val="32"/>
          <w:szCs w:val="32"/>
          <w:lang w:val="en-US" w:eastAsia="zh-CN"/>
        </w:rPr>
        <w:t>3、项目资金管理情况分析</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color w:val="000000" w:themeColor="text1"/>
          <w:sz w:val="32"/>
          <w:szCs w:val="32"/>
          <w:lang w:val="en-US" w:eastAsia="zh-CN"/>
        </w:rPr>
      </w:pPr>
      <w:r>
        <w:rPr>
          <w:rFonts w:hint="eastAsia" w:ascii="仿宋" w:hAnsi="仿宋" w:eastAsia="仿宋" w:cs="仿宋"/>
          <w:color w:val="000000" w:themeColor="text1"/>
          <w:sz w:val="32"/>
          <w:szCs w:val="32"/>
          <w:lang w:val="en-US" w:eastAsia="zh-CN"/>
        </w:rPr>
        <w:t>所有拔入到县水利局的专项资金均拔入到水利局在英吉沙县所设立的专户，实行专户专账管理。项目核算按照相应的规定进行核算，财务资料分项目保管。</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adjustRightInd w:val="0"/>
        <w:snapToGrid w:val="0"/>
        <w:spacing w:line="560" w:lineRule="exact"/>
        <w:ind w:firstLine="624" w:firstLineChars="200"/>
        <w:rPr>
          <w:rStyle w:val="18"/>
          <w:rFonts w:ascii="仿宋" w:hAnsi="仿宋" w:eastAsia="仿宋"/>
          <w:b w:val="0"/>
          <w:bCs w:val="0"/>
          <w:color w:val="FF0000"/>
          <w:spacing w:val="-4"/>
          <w:sz w:val="32"/>
          <w:szCs w:val="32"/>
        </w:rPr>
      </w:pPr>
      <w:r>
        <w:rPr>
          <w:rFonts w:hint="eastAsia" w:ascii="仿宋" w:hAnsi="仿宋" w:eastAsia="仿宋"/>
          <w:bCs/>
          <w:color w:val="auto"/>
          <w:spacing w:val="-4"/>
          <w:sz w:val="32"/>
          <w:szCs w:val="32"/>
        </w:rPr>
        <w:t>项目</w:t>
      </w:r>
      <w:r>
        <w:rPr>
          <w:rFonts w:hint="eastAsia" w:ascii="仿宋" w:hAnsi="仿宋" w:eastAsia="仿宋"/>
          <w:bCs/>
          <w:color w:val="auto"/>
          <w:spacing w:val="-4"/>
          <w:sz w:val="32"/>
          <w:szCs w:val="32"/>
          <w:lang w:eastAsia="zh-CN"/>
        </w:rPr>
        <w:t>资金的</w:t>
      </w:r>
      <w:r>
        <w:rPr>
          <w:rFonts w:hint="eastAsia" w:ascii="仿宋" w:hAnsi="仿宋" w:eastAsia="仿宋"/>
          <w:bCs/>
          <w:color w:val="auto"/>
          <w:spacing w:val="-4"/>
          <w:sz w:val="32"/>
          <w:szCs w:val="32"/>
        </w:rPr>
        <w:t>支出符合</w:t>
      </w:r>
      <w:r>
        <w:rPr>
          <w:rFonts w:hint="eastAsia" w:ascii="仿宋" w:hAnsi="仿宋" w:eastAsia="仿宋"/>
          <w:bCs/>
          <w:color w:val="auto"/>
          <w:spacing w:val="-4"/>
          <w:sz w:val="32"/>
          <w:szCs w:val="32"/>
          <w:lang w:eastAsia="zh-CN"/>
        </w:rPr>
        <w:t>喀什地区</w:t>
      </w:r>
      <w:r>
        <w:rPr>
          <w:rFonts w:hint="eastAsia" w:ascii="仿宋" w:hAnsi="仿宋" w:eastAsia="仿宋"/>
          <w:bCs/>
          <w:color w:val="auto"/>
          <w:spacing w:val="-4"/>
          <w:sz w:val="32"/>
          <w:szCs w:val="32"/>
        </w:rPr>
        <w:t>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2018年，</w:t>
      </w:r>
      <w:r>
        <w:rPr>
          <w:rFonts w:hint="eastAsia" w:ascii="仿宋" w:hAnsi="仿宋" w:eastAsia="仿宋" w:cs="仿宋"/>
          <w:sz w:val="32"/>
          <w:szCs w:val="32"/>
          <w:lang w:val="zh-TW" w:eastAsia="zh-TW"/>
        </w:rPr>
        <w:t>英吉沙县</w:t>
      </w:r>
      <w:r>
        <w:rPr>
          <w:rFonts w:hint="eastAsia" w:ascii="仿宋" w:hAnsi="仿宋" w:eastAsia="仿宋" w:cs="仿宋"/>
          <w:sz w:val="32"/>
          <w:szCs w:val="32"/>
          <w:lang w:val="zh-TW" w:eastAsia="zh-CN"/>
        </w:rPr>
        <w:t>卡回水库工程</w:t>
      </w:r>
      <w:r>
        <w:rPr>
          <w:rFonts w:hint="eastAsia" w:ascii="仿宋" w:hAnsi="仿宋" w:eastAsia="仿宋" w:cs="仿宋"/>
          <w:sz w:val="32"/>
          <w:szCs w:val="32"/>
          <w:lang w:val="zh-TW" w:eastAsia="zh-TW"/>
        </w:rPr>
        <w:t>项目</w:t>
      </w:r>
      <w:r>
        <w:rPr>
          <w:rFonts w:hint="eastAsia" w:ascii="仿宋" w:hAnsi="仿宋" w:eastAsia="仿宋" w:cs="仿宋"/>
          <w:sz w:val="32"/>
          <w:szCs w:val="32"/>
          <w:lang w:val="en-US" w:eastAsia="zh-CN"/>
        </w:rPr>
        <w:t>，项目法人单位为英吉沙县水管总站，实行项目“四制”要求。在实施工程中，严格按照批复的实施方案确定的建设内容和标准进行实施，对于跨村项目实行分段分村负责制，乡镇负责统筹衔接。施工过程中，明确专门技术人员进行跟踪指导，对项目进行质量、进度和资金控制。</w:t>
      </w:r>
    </w:p>
    <w:p>
      <w:pPr>
        <w:adjustRightInd w:val="0"/>
        <w:snapToGrid w:val="0"/>
        <w:spacing w:line="560" w:lineRule="exact"/>
        <w:ind w:firstLine="624" w:firstLineChars="200"/>
        <w:rPr>
          <w:rStyle w:val="18"/>
          <w:rFonts w:ascii="仿宋" w:hAnsi="仿宋" w:eastAsia="仿宋"/>
          <w:b w:val="0"/>
          <w:color w:val="auto"/>
          <w:spacing w:val="-4"/>
          <w:sz w:val="32"/>
          <w:szCs w:val="32"/>
        </w:rPr>
      </w:pPr>
      <w:r>
        <w:rPr>
          <w:rStyle w:val="18"/>
          <w:rFonts w:hint="eastAsia" w:ascii="仿宋" w:hAnsi="仿宋" w:eastAsia="仿宋"/>
          <w:b w:val="0"/>
          <w:color w:val="auto"/>
          <w:spacing w:val="-4"/>
          <w:sz w:val="32"/>
          <w:szCs w:val="32"/>
        </w:rPr>
        <w:t>本项目不存在调整情况。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jc w:val="both"/>
        <w:textAlignment w:val="auto"/>
        <w:outlineLvl w:val="9"/>
        <w:rPr>
          <w:rStyle w:val="18"/>
          <w:rFonts w:hint="eastAsia" w:ascii="仿宋" w:hAnsi="仿宋" w:eastAsia="仿宋"/>
          <w:b w:val="0"/>
          <w:color w:val="auto"/>
          <w:spacing w:val="-4"/>
          <w:sz w:val="32"/>
          <w:szCs w:val="32"/>
          <w:lang w:eastAsia="zh-CN"/>
        </w:rPr>
      </w:pPr>
      <w:r>
        <w:rPr>
          <w:rStyle w:val="18"/>
          <w:rFonts w:hint="eastAsia" w:ascii="仿宋" w:hAnsi="仿宋" w:eastAsia="仿宋"/>
          <w:b w:val="0"/>
          <w:color w:val="auto"/>
          <w:spacing w:val="-4"/>
          <w:sz w:val="32"/>
          <w:szCs w:val="32"/>
          <w:lang w:eastAsia="zh-CN"/>
        </w:rPr>
        <w:t>为确保项目的顺利实施，水利局加强了项目建设前、中、后的管理以及项目资金的监督管理。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jc w:val="both"/>
        <w:textAlignment w:val="auto"/>
        <w:outlineLvl w:val="9"/>
        <w:rPr>
          <w:rStyle w:val="18"/>
          <w:rFonts w:hint="eastAsia" w:ascii="仿宋" w:hAnsi="仿宋" w:eastAsia="仿宋"/>
          <w:b w:val="0"/>
          <w:color w:val="auto"/>
          <w:spacing w:val="-4"/>
          <w:sz w:val="32"/>
          <w:szCs w:val="32"/>
          <w:lang w:val="en-US" w:eastAsia="zh-CN"/>
        </w:rPr>
      </w:pPr>
      <w:r>
        <w:rPr>
          <w:rFonts w:hint="eastAsia" w:ascii="仿宋" w:hAnsi="仿宋" w:eastAsia="仿宋"/>
          <w:bCs/>
          <w:color w:val="auto"/>
          <w:spacing w:val="-4"/>
          <w:sz w:val="32"/>
          <w:szCs w:val="32"/>
          <w:lang w:eastAsia="zh-CN"/>
        </w:rPr>
        <w:t>项目管理制度建设方面：</w:t>
      </w:r>
      <w:r>
        <w:rPr>
          <w:rStyle w:val="18"/>
          <w:rFonts w:hint="eastAsia" w:ascii="仿宋" w:hAnsi="仿宋" w:eastAsia="仿宋"/>
          <w:b w:val="0"/>
          <w:color w:val="auto"/>
          <w:spacing w:val="-4"/>
          <w:sz w:val="32"/>
          <w:szCs w:val="32"/>
          <w:lang w:val="en-US" w:eastAsia="zh-CN"/>
        </w:rPr>
        <w:t>建立健全了水利项目建设“四个一”制度，严格按照水利工程施工质量管理标准，加强现场监管，下派技术监督员到施工现场，监督检查施工质量，形成了分管领导分工负责、技术人员具体负责、施工监理齐抓共管的工程质量监督保障机制，同时加强进度控制，落实建设进度统计工作，实现上报统计水利投资执行情况与工程建设进度相一致，对影响水利建设项目的重点难点问题逐项研究，提出的目标任务、措施办法，帮助基层和建设单位及时解决问题，加快工程建设进度，确保按期完成建设任务。</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jc w:val="both"/>
        <w:textAlignment w:val="auto"/>
        <w:outlineLvl w:val="9"/>
        <w:rPr>
          <w:rStyle w:val="18"/>
          <w:rFonts w:hint="eastAsia" w:ascii="仿宋" w:hAnsi="仿宋" w:eastAsia="仿宋"/>
          <w:b w:val="0"/>
          <w:color w:val="auto"/>
          <w:spacing w:val="-4"/>
          <w:sz w:val="32"/>
          <w:szCs w:val="32"/>
          <w:lang w:val="en-US" w:eastAsia="zh-CN"/>
        </w:rPr>
      </w:pPr>
      <w:r>
        <w:rPr>
          <w:rStyle w:val="18"/>
          <w:rFonts w:hint="eastAsia" w:ascii="仿宋" w:hAnsi="仿宋" w:eastAsia="仿宋"/>
          <w:b w:val="0"/>
          <w:color w:val="auto"/>
          <w:spacing w:val="-4"/>
          <w:sz w:val="32"/>
          <w:szCs w:val="32"/>
          <w:lang w:val="en-US" w:eastAsia="zh-CN"/>
        </w:rPr>
        <w:t>监督检查管理方面：建立严格的监督检查机制，强化追责问责，确保水利建设加快推进。采取检查、专项稽查、定期督导等方式，全面加强督导检查。</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jc w:val="both"/>
        <w:textAlignment w:val="auto"/>
        <w:outlineLvl w:val="9"/>
        <w:rPr>
          <w:rStyle w:val="18"/>
          <w:rFonts w:hint="eastAsia" w:ascii="仿宋" w:hAnsi="仿宋" w:eastAsia="仿宋"/>
          <w:b w:val="0"/>
          <w:color w:val="auto"/>
          <w:spacing w:val="-4"/>
          <w:sz w:val="32"/>
          <w:szCs w:val="32"/>
          <w:lang w:val="en-US" w:eastAsia="zh-CN"/>
        </w:rPr>
      </w:pPr>
      <w:r>
        <w:rPr>
          <w:rStyle w:val="18"/>
          <w:rFonts w:hint="eastAsia" w:ascii="仿宋" w:hAnsi="仿宋" w:eastAsia="仿宋"/>
          <w:b w:val="0"/>
          <w:color w:val="auto"/>
          <w:spacing w:val="-4"/>
          <w:sz w:val="32"/>
          <w:szCs w:val="32"/>
          <w:lang w:val="en-US" w:eastAsia="zh-CN"/>
        </w:rPr>
        <w:t>项目建设资金管理方面：切实加强项目资金管理，设立财务专户，做到专款专用，保障资金安全。建立健全水利系统内部的约束机制和会计核算监督体系，切实强化国有资产监督，促进党风廉政建设。杜绝吃、拿、卡、要现象的发生，保障了水利事业的健康发展。</w:t>
      </w:r>
    </w:p>
    <w:p>
      <w:pPr>
        <w:adjustRightInd w:val="0"/>
        <w:snapToGrid w:val="0"/>
        <w:spacing w:line="560" w:lineRule="exact"/>
        <w:ind w:firstLine="624" w:firstLineChars="200"/>
        <w:outlineLvl w:val="0"/>
        <w:rPr>
          <w:rStyle w:val="18"/>
          <w:rFonts w:ascii="黑体" w:hAnsi="黑体" w:eastAsia="黑体"/>
        </w:rPr>
      </w:pPr>
      <w:r>
        <w:rPr>
          <w:rStyle w:val="18"/>
          <w:rFonts w:hint="eastAsia" w:ascii="黑体" w:hAnsi="黑体" w:eastAsia="黑体"/>
          <w:b w:val="0"/>
          <w:spacing w:val="-4"/>
          <w:sz w:val="32"/>
          <w:szCs w:val="32"/>
        </w:rPr>
        <w:t>四、项目绩效情况</w:t>
      </w:r>
    </w:p>
    <w:p>
      <w:pPr>
        <w:adjustRightInd w:val="0"/>
        <w:snapToGrid w:val="0"/>
        <w:spacing w:line="560" w:lineRule="exact"/>
        <w:ind w:firstLine="624" w:firstLineChars="200"/>
        <w:outlineLvl w:val="0"/>
        <w:rPr>
          <w:rStyle w:val="18"/>
          <w:rFonts w:hint="eastAsia" w:ascii="仿宋" w:hAnsi="仿宋" w:eastAsia="仿宋" w:cs="仿宋"/>
          <w:bCs w:val="0"/>
          <w:spacing w:val="-4"/>
          <w:sz w:val="32"/>
          <w:szCs w:val="32"/>
        </w:rPr>
      </w:pPr>
      <w:r>
        <w:rPr>
          <w:rFonts w:hint="eastAsia" w:ascii="仿宋" w:hAnsi="仿宋" w:eastAsia="仿宋" w:cs="仿宋"/>
          <w:b/>
          <w:spacing w:val="-4"/>
          <w:sz w:val="32"/>
          <w:szCs w:val="32"/>
        </w:rPr>
        <w:t>（一）项目绩效目标完成情况分析</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1.产出指标完成情况分析。</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（1）项目完成数量。</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Style w:val="18"/>
          <w:rFonts w:hint="eastAsia" w:ascii="仿宋" w:hAnsi="仿宋" w:eastAsia="仿宋"/>
          <w:b w:val="0"/>
          <w:color w:val="auto"/>
          <w:spacing w:val="-4"/>
          <w:sz w:val="32"/>
          <w:szCs w:val="32"/>
          <w:lang w:val="zh-TW" w:eastAsia="zh-TW"/>
        </w:rPr>
        <w:t>英吉沙县</w:t>
      </w:r>
      <w:r>
        <w:rPr>
          <w:rStyle w:val="18"/>
          <w:rFonts w:hint="eastAsia" w:ascii="仿宋" w:hAnsi="仿宋" w:eastAsia="仿宋"/>
          <w:b w:val="0"/>
          <w:color w:val="auto"/>
          <w:spacing w:val="-4"/>
          <w:sz w:val="32"/>
          <w:szCs w:val="32"/>
          <w:lang w:val="zh-TW" w:eastAsia="zh-CN"/>
        </w:rPr>
        <w:t>卡回水库建设内容</w:t>
      </w:r>
      <w:r>
        <w:rPr>
          <w:rFonts w:hint="eastAsia" w:ascii="仿宋" w:hAnsi="仿宋" w:eastAsia="仿宋" w:cs="仿宋"/>
          <w:sz w:val="32"/>
          <w:szCs w:val="32"/>
          <w:lang w:val="en-US" w:eastAsia="zh-CN"/>
        </w:rPr>
        <w:t>，现已全部建设完成，于</w:t>
      </w:r>
      <w:r>
        <w:rPr>
          <w:rFonts w:hint="eastAsia" w:ascii="仿宋" w:hAnsi="仿宋" w:eastAsia="仿宋" w:cs="仿宋"/>
          <w:color w:val="auto"/>
          <w:sz w:val="32"/>
          <w:szCs w:val="32"/>
          <w:lang w:val="en-US" w:eastAsia="zh-CN"/>
        </w:rPr>
        <w:t>2018年12月28日</w:t>
      </w:r>
      <w:r>
        <w:rPr>
          <w:rFonts w:hint="eastAsia" w:ascii="仿宋" w:hAnsi="仿宋" w:eastAsia="仿宋" w:cs="仿宋"/>
          <w:sz w:val="32"/>
          <w:szCs w:val="32"/>
          <w:lang w:val="en-US" w:eastAsia="zh-CN"/>
        </w:rPr>
        <w:t>，由英吉沙县水利局主持了该项目分部工程验收并，分部工程验收等级合格。</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（2）项目完成质量。</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在项目工程质量方面，我单位严格按照相关规定，对质量进行严格管控，相关项目委托第三方进行检测，质量能够达到要求。</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2、效益指标完成情况分析。</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（1）项目实施的经济效益分析。</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通过开展项目的建设实施，调节了库容与蓄水量，促进了当地劳动就业。</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（2）项目实施的社会效益分析。</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水库控制灌溉面积30.82万亩，改善灌溉面积14.7万亩。水库正常蓄水位1416.2米，相应库容为2477万立方米，死水位1399.5米，淤沙高程1398.5米，死库容295万立方米，调节库容2182万立方米，1000年一遇校核洪水位为1416.32米，水库总库容2498万立方米，最大坝高31.2米。（3）项目实施的生态效益分析。</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项目实施后，水库水温为富有植物生长和发育作用提供了良好环境；合理开发利用水库资源。</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3、满意度指标完成情况分析。</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通过项目的实施，水利基础设施不断改善，灌溉条件得到有效改善，最终受益为项目区广大农民群众，农民收入不断提高，得到农民群众的肯定。</w:t>
      </w:r>
    </w:p>
    <w:p>
      <w:pPr>
        <w:pStyle w:val="2"/>
        <w:rPr>
          <w:rFonts w:hint="eastAsia" w:ascii="仿宋" w:hAnsi="仿宋" w:eastAsia="仿宋" w:cs="仿宋"/>
          <w:b w:val="0"/>
          <w:bCs w:val="0"/>
          <w:i w:val="0"/>
          <w:iCs w:val="0"/>
          <w:kern w:val="2"/>
          <w:sz w:val="32"/>
          <w:szCs w:val="32"/>
          <w:lang w:val="en-US" w:eastAsia="zh-CN" w:bidi="ar-SA"/>
        </w:rPr>
      </w:pPr>
      <w:r>
        <w:rPr>
          <w:rFonts w:hint="eastAsia" w:ascii="仿宋" w:hAnsi="仿宋" w:eastAsia="仿宋" w:cs="仿宋"/>
          <w:b w:val="0"/>
          <w:bCs w:val="0"/>
          <w:i w:val="0"/>
          <w:iCs w:val="0"/>
          <w:kern w:val="2"/>
          <w:sz w:val="32"/>
          <w:szCs w:val="32"/>
          <w:lang w:val="en-US" w:eastAsia="zh-CN" w:bidi="ar-SA"/>
        </w:rPr>
        <w:t>完成三级指标13个</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560" w:lineRule="exact"/>
        <w:ind w:firstLine="624" w:firstLineChars="200"/>
        <w:rPr>
          <w:rFonts w:hint="eastAsia" w:ascii="仿宋" w:hAnsi="仿宋" w:eastAsia="仿宋"/>
          <w:color w:val="auto"/>
          <w:spacing w:val="-4"/>
          <w:sz w:val="32"/>
          <w:szCs w:val="32"/>
          <w:lang w:eastAsia="zh-CN"/>
        </w:rPr>
      </w:pPr>
      <w:r>
        <w:rPr>
          <w:rFonts w:hint="eastAsia" w:ascii="仿宋" w:hAnsi="仿宋" w:eastAsia="仿宋"/>
          <w:color w:val="auto"/>
          <w:spacing w:val="-4"/>
          <w:sz w:val="32"/>
          <w:szCs w:val="32"/>
        </w:rPr>
        <w:t>201</w:t>
      </w:r>
      <w:r>
        <w:rPr>
          <w:rFonts w:hint="eastAsia" w:ascii="仿宋" w:hAnsi="仿宋" w:eastAsia="仿宋"/>
          <w:color w:val="auto"/>
          <w:spacing w:val="-4"/>
          <w:sz w:val="32"/>
          <w:szCs w:val="32"/>
          <w:lang w:val="en-US" w:eastAsia="zh-CN"/>
        </w:rPr>
        <w:t>8</w:t>
      </w:r>
      <w:r>
        <w:rPr>
          <w:rFonts w:hint="eastAsia" w:ascii="仿宋" w:hAnsi="仿宋" w:eastAsia="仿宋"/>
          <w:color w:val="auto"/>
          <w:spacing w:val="-4"/>
          <w:sz w:val="32"/>
          <w:szCs w:val="32"/>
        </w:rPr>
        <w:t>年</w:t>
      </w:r>
      <w:r>
        <w:rPr>
          <w:rFonts w:hint="eastAsia" w:ascii="仿宋" w:hAnsi="仿宋" w:eastAsia="仿宋"/>
          <w:color w:val="auto"/>
          <w:spacing w:val="-4"/>
          <w:sz w:val="32"/>
          <w:szCs w:val="32"/>
          <w:lang w:eastAsia="zh-CN"/>
        </w:rPr>
        <w:t>建设完成，</w:t>
      </w:r>
      <w:r>
        <w:rPr>
          <w:rFonts w:hint="eastAsia" w:ascii="仿宋" w:hAnsi="仿宋" w:eastAsia="仿宋"/>
          <w:color w:val="auto"/>
          <w:spacing w:val="-4"/>
          <w:sz w:val="32"/>
          <w:szCs w:val="32"/>
        </w:rPr>
        <w:t>本项目</w:t>
      </w:r>
      <w:r>
        <w:rPr>
          <w:rFonts w:hint="eastAsia" w:ascii="仿宋" w:hAnsi="仿宋" w:eastAsia="仿宋"/>
          <w:color w:val="auto"/>
          <w:spacing w:val="-4"/>
          <w:sz w:val="32"/>
          <w:szCs w:val="32"/>
          <w:lang w:eastAsia="zh-CN"/>
        </w:rPr>
        <w:t>现在还未正常运行，</w:t>
      </w:r>
      <w:r>
        <w:rPr>
          <w:rFonts w:hint="eastAsia" w:ascii="仿宋" w:hAnsi="仿宋" w:eastAsia="仿宋"/>
          <w:color w:val="auto"/>
          <w:spacing w:val="-4"/>
          <w:sz w:val="32"/>
          <w:szCs w:val="32"/>
        </w:rPr>
        <w:t>绩效目标</w:t>
      </w:r>
      <w:r>
        <w:rPr>
          <w:rFonts w:hint="eastAsia" w:ascii="仿宋" w:hAnsi="仿宋" w:eastAsia="仿宋"/>
          <w:color w:val="auto"/>
          <w:spacing w:val="-4"/>
          <w:sz w:val="32"/>
          <w:szCs w:val="32"/>
          <w:lang w:eastAsia="zh-CN"/>
        </w:rPr>
        <w:t>暂未</w:t>
      </w:r>
      <w:r>
        <w:rPr>
          <w:rFonts w:hint="eastAsia" w:ascii="仿宋" w:hAnsi="仿宋" w:eastAsia="仿宋"/>
          <w:color w:val="auto"/>
          <w:spacing w:val="-4"/>
          <w:sz w:val="32"/>
          <w:szCs w:val="32"/>
        </w:rPr>
        <w:t>全部达成</w:t>
      </w:r>
      <w:r>
        <w:rPr>
          <w:rFonts w:hint="eastAsia" w:ascii="仿宋" w:hAnsi="仿宋" w:eastAsia="仿宋"/>
          <w:color w:val="auto"/>
          <w:spacing w:val="-4"/>
          <w:sz w:val="32"/>
          <w:szCs w:val="32"/>
          <w:lang w:eastAsia="zh-CN"/>
        </w:rPr>
        <w:t>。</w:t>
      </w:r>
    </w:p>
    <w:p>
      <w:pPr>
        <w:adjustRightInd w:val="0"/>
        <w:snapToGrid w:val="0"/>
        <w:spacing w:line="560" w:lineRule="exact"/>
        <w:ind w:firstLine="624" w:firstLineChars="200"/>
        <w:rPr>
          <w:rFonts w:hint="eastAsia" w:ascii="仿宋" w:hAnsi="仿宋" w:eastAsia="仿宋"/>
          <w:color w:val="auto"/>
          <w:spacing w:val="-4"/>
          <w:sz w:val="32"/>
          <w:szCs w:val="32"/>
          <w:lang w:val="en-US" w:eastAsia="zh-CN"/>
        </w:rPr>
      </w:pPr>
      <w:r>
        <w:rPr>
          <w:rFonts w:hint="eastAsia" w:ascii="仿宋" w:hAnsi="仿宋" w:eastAsia="仿宋"/>
          <w:color w:val="auto"/>
          <w:spacing w:val="-4"/>
          <w:sz w:val="32"/>
          <w:szCs w:val="32"/>
          <w:lang w:eastAsia="zh-CN"/>
        </w:rPr>
        <w:t>原因分析：专业技术人才缺乏，无水库管理人员，工程还未进行审计。</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624" w:firstLineChars="200"/>
        <w:rPr>
          <w:rFonts w:ascii="仿宋" w:hAnsi="仿宋" w:eastAsia="仿宋"/>
          <w:color w:val="auto"/>
          <w:spacing w:val="-4"/>
          <w:sz w:val="32"/>
          <w:szCs w:val="32"/>
        </w:rPr>
      </w:pPr>
      <w:r>
        <w:rPr>
          <w:rFonts w:hint="eastAsia" w:ascii="仿宋" w:hAnsi="仿宋" w:eastAsia="仿宋"/>
          <w:color w:val="auto"/>
          <w:spacing w:val="-4"/>
          <w:sz w:val="32"/>
          <w:szCs w:val="32"/>
        </w:rPr>
        <w:t>无其他说明内容。</w:t>
      </w:r>
    </w:p>
    <w:p>
      <w:pPr>
        <w:adjustRightInd w:val="0"/>
        <w:snapToGrid w:val="0"/>
        <w:spacing w:line="560" w:lineRule="exact"/>
        <w:ind w:firstLine="624" w:firstLineChars="200"/>
        <w:outlineLvl w:val="0"/>
        <w:rPr>
          <w:rFonts w:ascii="黑体" w:hAnsi="黑体" w:eastAsia="黑体"/>
          <w:bCs/>
          <w:spacing w:val="-4"/>
          <w:sz w:val="32"/>
          <w:szCs w:val="32"/>
        </w:rPr>
      </w:pPr>
      <w:r>
        <w:rPr>
          <w:rStyle w:val="18"/>
          <w:rFonts w:hint="eastAsia" w:ascii="黑体" w:hAnsi="黑体" w:eastAsia="黑体"/>
          <w:b w:val="0"/>
          <w:spacing w:val="-4"/>
          <w:sz w:val="32"/>
          <w:szCs w:val="32"/>
        </w:rPr>
        <w:t>六、项目评价工作情况</w:t>
      </w:r>
    </w:p>
    <w:p>
      <w:pPr>
        <w:adjustRightInd w:val="0"/>
        <w:snapToGrid w:val="0"/>
        <w:spacing w:line="560" w:lineRule="exact"/>
        <w:ind w:firstLine="624" w:firstLineChars="200"/>
        <w:rPr>
          <w:rFonts w:ascii="仿宋" w:hAnsi="仿宋" w:eastAsia="仿宋"/>
          <w:color w:val="FF0000"/>
          <w:spacing w:val="-4"/>
          <w:sz w:val="32"/>
          <w:szCs w:val="32"/>
        </w:rPr>
      </w:pPr>
      <w:r>
        <w:rPr>
          <w:rFonts w:hint="eastAsia" w:ascii="仿宋" w:hAnsi="仿宋" w:eastAsia="仿宋"/>
          <w:color w:val="auto"/>
          <w:spacing w:val="-4"/>
          <w:sz w:val="32"/>
          <w:szCs w:val="32"/>
        </w:rPr>
        <w:t>本次评价通过文件研读、实地调研、数据分析等方式，全面了解</w:t>
      </w:r>
      <w:r>
        <w:rPr>
          <w:rFonts w:hint="eastAsia" w:ascii="仿宋" w:hAnsi="仿宋" w:eastAsia="仿宋"/>
          <w:color w:val="auto"/>
          <w:spacing w:val="-4"/>
          <w:sz w:val="32"/>
          <w:szCs w:val="32"/>
          <w:lang w:eastAsia="zh-CN"/>
        </w:rPr>
        <w:t>该</w:t>
      </w:r>
      <w:r>
        <w:rPr>
          <w:rFonts w:hint="eastAsia" w:ascii="仿宋" w:hAnsi="仿宋" w:eastAsia="仿宋"/>
          <w:color w:val="auto"/>
          <w:spacing w:val="-4"/>
          <w:sz w:val="32"/>
          <w:szCs w:val="32"/>
        </w:rPr>
        <w:t>项目资金的使用效率和效果，项目</w:t>
      </w:r>
      <w:r>
        <w:rPr>
          <w:rFonts w:hint="eastAsia" w:ascii="仿宋" w:hAnsi="仿宋" w:eastAsia="仿宋"/>
          <w:color w:val="auto"/>
          <w:spacing w:val="-4"/>
          <w:sz w:val="32"/>
          <w:szCs w:val="32"/>
          <w:lang w:eastAsia="zh-CN"/>
        </w:rPr>
        <w:t>建设</w:t>
      </w:r>
      <w:r>
        <w:rPr>
          <w:rFonts w:hint="eastAsia" w:ascii="仿宋" w:hAnsi="仿宋" w:eastAsia="仿宋"/>
          <w:color w:val="auto"/>
          <w:spacing w:val="-4"/>
          <w:sz w:val="32"/>
          <w:szCs w:val="32"/>
        </w:rPr>
        <w:t>管理过程规范，完成了</w:t>
      </w:r>
      <w:r>
        <w:rPr>
          <w:rFonts w:hint="eastAsia" w:ascii="仿宋" w:hAnsi="仿宋" w:eastAsia="仿宋"/>
          <w:color w:val="auto"/>
          <w:spacing w:val="-4"/>
          <w:sz w:val="32"/>
          <w:szCs w:val="32"/>
          <w:lang w:eastAsia="zh-CN"/>
        </w:rPr>
        <w:t>建设内容</w:t>
      </w:r>
      <w:r>
        <w:rPr>
          <w:rFonts w:hint="eastAsia" w:ascii="仿宋" w:hAnsi="仿宋" w:eastAsia="仿宋"/>
          <w:color w:val="auto"/>
          <w:spacing w:val="-4"/>
          <w:sz w:val="32"/>
          <w:szCs w:val="32"/>
        </w:rPr>
        <w:t>预期绩效目标。</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adjustRightInd w:val="0"/>
        <w:snapToGrid w:val="0"/>
        <w:spacing w:line="560" w:lineRule="exact"/>
        <w:ind w:firstLine="624" w:firstLineChars="200"/>
        <w:rPr>
          <w:rStyle w:val="18"/>
          <w:rFonts w:hint="eastAsia" w:ascii="仿宋" w:hAnsi="仿宋" w:eastAsia="仿宋"/>
          <w:spacing w:val="-4"/>
          <w:sz w:val="32"/>
          <w:szCs w:val="32"/>
          <w:lang w:eastAsia="zh-CN"/>
        </w:rPr>
      </w:pPr>
      <w:r>
        <w:rPr>
          <w:rStyle w:val="18"/>
          <w:rFonts w:hint="eastAsia" w:ascii="仿宋" w:hAnsi="仿宋" w:eastAsia="仿宋"/>
          <w:b w:val="0"/>
          <w:spacing w:val="-4"/>
          <w:sz w:val="32"/>
          <w:szCs w:val="32"/>
        </w:rPr>
        <w:t>《项目支出绩效目标自评表》</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00007A87" w:usb1="80000000" w:usb2="00000008" w:usb3="00000000" w:csb0="400001FF" w:csb1="FFFF0000"/>
  </w:font>
  <w:font w:name="宋体">
    <w:panose1 w:val="02010600030101010101"/>
    <w:charset w:val="7A"/>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Arial Unicode MS">
    <w:altName w:val="宋体"/>
    <w:panose1 w:val="020B0604020202020204"/>
    <w:charset w:val="86"/>
    <w:family w:val="swiss"/>
    <w:pitch w:val="default"/>
    <w:sig w:usb0="00000000" w:usb1="00000000" w:usb2="0000003F" w:usb3="00000000" w:csb0="003F01FF" w:csb1="00000000"/>
  </w:font>
  <w:font w:name="华文中宋">
    <w:altName w:val="宋体"/>
    <w:panose1 w:val="02010600040101010101"/>
    <w:charset w:val="86"/>
    <w:family w:val="auto"/>
    <w:pitch w:val="default"/>
    <w:sig w:usb0="00000000" w:usb1="00000000" w:usb2="00000010" w:usb3="00000000" w:csb0="0004009F" w:csb1="00000000"/>
  </w:font>
  <w:font w:name="仿宋_GB2312">
    <w:panose1 w:val="02010609030101010101"/>
    <w:charset w:val="86"/>
    <w:family w:val="modern"/>
    <w:pitch w:val="default"/>
    <w:sig w:usb0="00000001" w:usb1="080E0000" w:usb2="00000000" w:usb3="00000000" w:csb0="00040000" w:csb1="00000000"/>
  </w:font>
  <w:font w:name="楷体">
    <w:altName w:val="楷体_GB2312"/>
    <w:panose1 w:val="02010609060101010101"/>
    <w:charset w:val="86"/>
    <w:family w:val="modern"/>
    <w:pitch w:val="default"/>
    <w:sig w:usb0="00000000" w:usb1="00000000" w:usb2="00000016" w:usb3="00000000" w:csb0="00040001" w:csb1="00000000"/>
  </w:font>
  <w:font w:name="仿宋">
    <w:altName w:val="微软雅黑"/>
    <w:panose1 w:val="02010609060101010101"/>
    <w:charset w:val="86"/>
    <w:family w:val="modern"/>
    <w:pitch w:val="default"/>
    <w:sig w:usb0="00000000" w:usb1="00000000"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1A0F3C52" w:usb2="00000010"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A6457"/>
    <w:rsid w:val="0012208E"/>
    <w:rsid w:val="00135256"/>
    <w:rsid w:val="001A4E1F"/>
    <w:rsid w:val="001A57B9"/>
    <w:rsid w:val="001C3847"/>
    <w:rsid w:val="001F3031"/>
    <w:rsid w:val="00210A26"/>
    <w:rsid w:val="002A2532"/>
    <w:rsid w:val="002A2D76"/>
    <w:rsid w:val="00365250"/>
    <w:rsid w:val="0036624C"/>
    <w:rsid w:val="00385849"/>
    <w:rsid w:val="0050167F"/>
    <w:rsid w:val="00514506"/>
    <w:rsid w:val="005162F1"/>
    <w:rsid w:val="00516E80"/>
    <w:rsid w:val="00535153"/>
    <w:rsid w:val="00575CFE"/>
    <w:rsid w:val="00583AFC"/>
    <w:rsid w:val="00592D09"/>
    <w:rsid w:val="00675D58"/>
    <w:rsid w:val="006F2E6D"/>
    <w:rsid w:val="007218B8"/>
    <w:rsid w:val="00755C6A"/>
    <w:rsid w:val="00785FDE"/>
    <w:rsid w:val="007A0351"/>
    <w:rsid w:val="007A14BC"/>
    <w:rsid w:val="007C1025"/>
    <w:rsid w:val="007E6845"/>
    <w:rsid w:val="007F5F8A"/>
    <w:rsid w:val="00826CA1"/>
    <w:rsid w:val="00835B7F"/>
    <w:rsid w:val="00855E3A"/>
    <w:rsid w:val="00922CB9"/>
    <w:rsid w:val="009350F7"/>
    <w:rsid w:val="009B526F"/>
    <w:rsid w:val="009C1AFD"/>
    <w:rsid w:val="00A26421"/>
    <w:rsid w:val="00A4293B"/>
    <w:rsid w:val="00A83BD5"/>
    <w:rsid w:val="00A977DF"/>
    <w:rsid w:val="00AE6A23"/>
    <w:rsid w:val="00B06CA5"/>
    <w:rsid w:val="00B41F61"/>
    <w:rsid w:val="00B55332"/>
    <w:rsid w:val="00B86E8C"/>
    <w:rsid w:val="00BE1A00"/>
    <w:rsid w:val="00C22CF0"/>
    <w:rsid w:val="00C56C72"/>
    <w:rsid w:val="00CA6457"/>
    <w:rsid w:val="00CC6E4D"/>
    <w:rsid w:val="00D17F2E"/>
    <w:rsid w:val="00D46194"/>
    <w:rsid w:val="00E01293"/>
    <w:rsid w:val="00E027D1"/>
    <w:rsid w:val="00E769FE"/>
    <w:rsid w:val="00EA2CBE"/>
    <w:rsid w:val="00F32FEE"/>
    <w:rsid w:val="00F53E69"/>
    <w:rsid w:val="01023DB6"/>
    <w:rsid w:val="0A716407"/>
    <w:rsid w:val="0C3B7F45"/>
    <w:rsid w:val="0E1955EA"/>
    <w:rsid w:val="0EE331B3"/>
    <w:rsid w:val="0FB52C06"/>
    <w:rsid w:val="1C4164E6"/>
    <w:rsid w:val="28E40B19"/>
    <w:rsid w:val="361444DD"/>
    <w:rsid w:val="390B4713"/>
    <w:rsid w:val="3B232704"/>
    <w:rsid w:val="41E61316"/>
    <w:rsid w:val="49045234"/>
    <w:rsid w:val="4993418A"/>
    <w:rsid w:val="4D4B366D"/>
    <w:rsid w:val="4F4F420F"/>
    <w:rsid w:val="4FDF3313"/>
    <w:rsid w:val="50E94341"/>
    <w:rsid w:val="527A7484"/>
    <w:rsid w:val="54EB3754"/>
    <w:rsid w:val="5874023D"/>
    <w:rsid w:val="5CAA4EF0"/>
    <w:rsid w:val="5CFA211B"/>
    <w:rsid w:val="5E375A71"/>
    <w:rsid w:val="5FAD55DF"/>
    <w:rsid w:val="643C7BB0"/>
    <w:rsid w:val="64C0405E"/>
    <w:rsid w:val="67CD7F9F"/>
    <w:rsid w:val="6A582740"/>
    <w:rsid w:val="6E0C70FC"/>
    <w:rsid w:val="71B45306"/>
    <w:rsid w:val="74291907"/>
    <w:rsid w:val="79B771C1"/>
    <w:rsid w:val="79E23170"/>
    <w:rsid w:val="7AB73F82"/>
    <w:rsid w:val="7C5E4840"/>
    <w:rsid w:val="7F8022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2">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3"/>
    <w:qFormat/>
    <w:uiPriority w:val="9"/>
    <w:rPr>
      <w:rFonts w:asciiTheme="majorHAnsi" w:hAnsiTheme="majorHAnsi" w:eastAsiaTheme="majorEastAsia"/>
      <w:b/>
      <w:bCs/>
      <w:kern w:val="32"/>
      <w:sz w:val="32"/>
      <w:szCs w:val="32"/>
    </w:rPr>
  </w:style>
  <w:style w:type="character" w:customStyle="1" w:styleId="22">
    <w:name w:val="标题 2 Char"/>
    <w:basedOn w:val="17"/>
    <w:link w:val="2"/>
    <w:semiHidden/>
    <w:qFormat/>
    <w:uiPriority w:val="9"/>
    <w:rPr>
      <w:rFonts w:asciiTheme="majorHAnsi" w:hAnsiTheme="majorHAnsi" w:eastAsiaTheme="majorEastAsia"/>
      <w:b/>
      <w:bCs/>
      <w:i/>
      <w:iCs/>
      <w:sz w:val="28"/>
      <w:szCs w:val="28"/>
    </w:rPr>
  </w:style>
  <w:style w:type="character" w:customStyle="1" w:styleId="23">
    <w:name w:val="标题 3 Char"/>
    <w:basedOn w:val="17"/>
    <w:link w:val="4"/>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Subtle Emphasis"/>
    <w:qFormat/>
    <w:uiPriority w:val="19"/>
    <w:rPr>
      <w:i/>
      <w:color w:val="595959" w:themeColor="text1" w:themeTint="A5"/>
    </w:rPr>
  </w:style>
  <w:style w:type="character" w:customStyle="1" w:styleId="39">
    <w:name w:val="Intense Emphasis"/>
    <w:basedOn w:val="17"/>
    <w:qFormat/>
    <w:uiPriority w:val="21"/>
    <w:rPr>
      <w:b/>
      <w:i/>
      <w:sz w:val="24"/>
      <w:szCs w:val="24"/>
      <w:u w:val="single"/>
    </w:rPr>
  </w:style>
  <w:style w:type="character" w:customStyle="1" w:styleId="40">
    <w:name w:val="Subtle Reference"/>
    <w:basedOn w:val="17"/>
    <w:qFormat/>
    <w:uiPriority w:val="31"/>
    <w:rPr>
      <w:sz w:val="24"/>
      <w:szCs w:val="24"/>
      <w:u w:val="single"/>
    </w:rPr>
  </w:style>
  <w:style w:type="character" w:customStyle="1" w:styleId="41">
    <w:name w:val="Intense Reference"/>
    <w:basedOn w:val="17"/>
    <w:qFormat/>
    <w:uiPriority w:val="32"/>
    <w:rPr>
      <w:b/>
      <w:sz w:val="24"/>
      <w:u w:val="single"/>
    </w:rPr>
  </w:style>
  <w:style w:type="character" w:customStyle="1" w:styleId="42">
    <w:name w:val="Book Title"/>
    <w:basedOn w:val="17"/>
    <w:qFormat/>
    <w:uiPriority w:val="33"/>
    <w:rPr>
      <w:rFonts w:asciiTheme="majorHAnsi" w:hAnsiTheme="majorHAnsi" w:eastAsiaTheme="majorEastAsia"/>
      <w:b/>
      <w:i/>
      <w:sz w:val="24"/>
      <w:szCs w:val="24"/>
    </w:rPr>
  </w:style>
  <w:style w:type="paragraph" w:customStyle="1" w:styleId="43">
    <w:name w:val="TOC Heading"/>
    <w:basedOn w:val="3"/>
    <w:next w:val="1"/>
    <w:semiHidden/>
    <w:unhideWhenUsed/>
    <w:qFormat/>
    <w:uiPriority w:val="39"/>
    <w:pPr>
      <w:outlineLvl w:val="9"/>
    </w:pPr>
    <w:rPr>
      <w:lang w:eastAsia="en-US" w:bidi="en-US"/>
    </w:rPr>
  </w:style>
  <w:style w:type="character" w:customStyle="1" w:styleId="44">
    <w:name w:val="页眉 Char"/>
    <w:basedOn w:val="17"/>
    <w:link w:val="14"/>
    <w:qFormat/>
    <w:uiPriority w:val="99"/>
    <w:rPr>
      <w:rFonts w:ascii="Calibri" w:hAnsi="Calibri" w:eastAsia="宋体"/>
      <w:kern w:val="2"/>
      <w:sz w:val="18"/>
      <w:szCs w:val="18"/>
    </w:rPr>
  </w:style>
  <w:style w:type="character" w:customStyle="1" w:styleId="45">
    <w:name w:val="页脚 Char"/>
    <w:basedOn w:val="17"/>
    <w:link w:val="13"/>
    <w:qFormat/>
    <w:uiPriority w:val="99"/>
    <w:rPr>
      <w:rFonts w:ascii="Calibri" w:hAnsi="Calibri" w:eastAsia="宋体"/>
      <w:kern w:val="2"/>
      <w:sz w:val="18"/>
      <w:szCs w:val="18"/>
    </w:rPr>
  </w:style>
  <w:style w:type="character" w:customStyle="1" w:styleId="46">
    <w:name w:val="文档结构图 Char"/>
    <w:basedOn w:val="17"/>
    <w:link w:val="11"/>
    <w:semiHidden/>
    <w:qFormat/>
    <w:uiPriority w:val="99"/>
    <w:rPr>
      <w:rFonts w:ascii="宋体" w:hAnsi="Times New Roman" w:eastAsia="宋体"/>
      <w:kern w:val="2"/>
      <w:sz w:val="18"/>
      <w:szCs w:val="18"/>
    </w:rPr>
  </w:style>
  <w:style w:type="character" w:customStyle="1" w:styleId="47">
    <w:name w:val="批注框文本 Char"/>
    <w:basedOn w:val="17"/>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pBdr>
        <w:top w:val="none" w:color="auto" w:sz="0" w:space="0"/>
        <w:left w:val="none" w:color="auto" w:sz="0" w:space="0"/>
        <w:bottom w:val="none" w:color="auto" w:sz="0" w:space="0"/>
        <w:right w:val="none" w:color="auto" w:sz="0" w:space="0"/>
        <w:between w:val="none" w:color="auto" w:sz="0" w:space="0"/>
      </w:pBdr>
      <w:spacing w:after="0" w:line="240" w:lineRule="auto"/>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42BEAA-CBD8-472D-86BD-001E554F913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286</Words>
  <Characters>1633</Characters>
  <Lines>13</Lines>
  <Paragraphs>3</Paragraphs>
  <TotalTime>11</TotalTime>
  <ScaleCrop>false</ScaleCrop>
  <LinksUpToDate>false</LinksUpToDate>
  <CharactersWithSpaces>1916</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2019-01-30T10:36:50Z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